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830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985"/>
      </w:tblGrid>
      <w:tr w:rsidR="00795D4B" w:rsidRPr="00795D4B" w14:paraId="66599590" w14:textId="77777777" w:rsidTr="009A785D">
        <w:trPr>
          <w:trHeight w:val="1117"/>
        </w:trPr>
        <w:tc>
          <w:tcPr>
            <w:tcW w:w="3686" w:type="dxa"/>
            <w:shd w:val="clear" w:color="auto" w:fill="auto"/>
          </w:tcPr>
          <w:p w14:paraId="492A1CCB" w14:textId="77777777" w:rsidR="00795D4B" w:rsidRPr="00795D4B" w:rsidRDefault="00795D4B" w:rsidP="00795D4B">
            <w:pPr>
              <w:spacing w:line="200" w:lineRule="exact"/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</w:pPr>
            <w:r w:rsidRPr="00795D4B"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  <w:t>Chubb Seguros Perú S.A</w:t>
            </w:r>
          </w:p>
          <w:p w14:paraId="6F9F70C2" w14:textId="77777777" w:rsidR="00795D4B" w:rsidRPr="00795D4B" w:rsidRDefault="00795D4B" w:rsidP="00795D4B">
            <w:pPr>
              <w:spacing w:line="200" w:lineRule="exact"/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</w:pPr>
            <w:r w:rsidRPr="00795D4B"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  <w:t>Calle Amador Merino Reyna 267, Of.402</w:t>
            </w:r>
          </w:p>
          <w:p w14:paraId="52B5BA96" w14:textId="77777777" w:rsidR="00795D4B" w:rsidRPr="00795D4B" w:rsidRDefault="00795D4B" w:rsidP="00795D4B">
            <w:pPr>
              <w:spacing w:line="200" w:lineRule="exact"/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  <w:lang w:val="de-CH"/>
              </w:rPr>
            </w:pPr>
            <w:r w:rsidRPr="00795D4B"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  <w:lang w:val="de-CH"/>
              </w:rPr>
              <w:t>San Isidro – Lima 27</w:t>
            </w:r>
            <w:r w:rsidRPr="00795D4B"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  <w:lang w:val="de-CH"/>
              </w:rPr>
              <w:br/>
              <w:t>Perú</w:t>
            </w:r>
          </w:p>
        </w:tc>
        <w:tc>
          <w:tcPr>
            <w:tcW w:w="1985" w:type="dxa"/>
            <w:shd w:val="clear" w:color="auto" w:fill="auto"/>
          </w:tcPr>
          <w:p w14:paraId="20C3ECED" w14:textId="77777777" w:rsidR="00795D4B" w:rsidRPr="00795D4B" w:rsidRDefault="00795D4B" w:rsidP="00795D4B">
            <w:pPr>
              <w:spacing w:line="200" w:lineRule="exact"/>
              <w:ind w:left="142"/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</w:pPr>
            <w:r w:rsidRPr="00795D4B"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  <w:t>O  (511) 417-5000</w:t>
            </w:r>
          </w:p>
          <w:p w14:paraId="1765112C" w14:textId="77777777" w:rsidR="00795D4B" w:rsidRPr="00795D4B" w:rsidRDefault="00795D4B" w:rsidP="00795D4B">
            <w:pPr>
              <w:spacing w:line="200" w:lineRule="exact"/>
              <w:ind w:left="142"/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</w:pPr>
            <w:r w:rsidRPr="00795D4B"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  <w:t>F   (511) 221-3313</w:t>
            </w:r>
          </w:p>
          <w:p w14:paraId="1B508CFE" w14:textId="77777777" w:rsidR="00795D4B" w:rsidRPr="00795D4B" w:rsidRDefault="00795D4B" w:rsidP="00795D4B">
            <w:pPr>
              <w:spacing w:line="200" w:lineRule="exact"/>
              <w:ind w:left="142"/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</w:pPr>
            <w:r w:rsidRPr="00795D4B"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  <w:t>www.chubb.com/pe</w:t>
            </w:r>
          </w:p>
          <w:p w14:paraId="7C3DB51A" w14:textId="77777777" w:rsidR="00795D4B" w:rsidRPr="00795D4B" w:rsidRDefault="00795D4B" w:rsidP="00795D4B">
            <w:pPr>
              <w:spacing w:line="200" w:lineRule="exact"/>
              <w:rPr>
                <w:rFonts w:ascii="Georgia" w:eastAsia="Georgia" w:hAnsi="Georgia" w:cs="Times New Roman"/>
                <w:noProof/>
                <w:spacing w:val="8"/>
                <w:sz w:val="16"/>
                <w:szCs w:val="16"/>
              </w:rPr>
            </w:pPr>
          </w:p>
        </w:tc>
      </w:tr>
    </w:tbl>
    <w:p w14:paraId="15CB9D8A" w14:textId="77777777" w:rsidR="00795D4B" w:rsidRDefault="00795D4B" w:rsidP="00795D4B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_tradnl" w:eastAsia="es-ES"/>
        </w:rPr>
      </w:pPr>
      <w:r>
        <w:rPr>
          <w:rFonts w:ascii="Georgia" w:hAnsi="Georgia" w:cs="Arial"/>
          <w:b/>
          <w:bCs/>
          <w:noProof/>
          <w:sz w:val="26"/>
          <w:szCs w:val="26"/>
          <w:lang w:eastAsia="es-PE"/>
        </w:rPr>
        <w:drawing>
          <wp:anchor distT="0" distB="0" distL="114300" distR="114300" simplePos="0" relativeHeight="251659264" behindDoc="0" locked="0" layoutInCell="1" allowOverlap="1" wp14:anchorId="1DD8002C" wp14:editId="028B59DA">
            <wp:simplePos x="0" y="0"/>
            <wp:positionH relativeFrom="column">
              <wp:posOffset>36195</wp:posOffset>
            </wp:positionH>
            <wp:positionV relativeFrom="paragraph">
              <wp:posOffset>-822960</wp:posOffset>
            </wp:positionV>
            <wp:extent cx="1085850" cy="11684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678402" w14:textId="77777777" w:rsidR="00795D4B" w:rsidRPr="00795D4B" w:rsidRDefault="007349FE" w:rsidP="00795D4B">
      <w:pPr>
        <w:spacing w:line="228" w:lineRule="auto"/>
        <w:ind w:right="141"/>
        <w:rPr>
          <w:rFonts w:ascii="Georgia" w:eastAsia="Times New Roman" w:hAnsi="Georgia" w:cs="Arial"/>
          <w:b/>
          <w:sz w:val="26"/>
          <w:szCs w:val="26"/>
          <w:lang w:val="es-ES_tradnl" w:eastAsia="es-ES"/>
        </w:rPr>
      </w:pPr>
      <w:r>
        <w:rPr>
          <w:rFonts w:ascii="Georgia" w:eastAsia="Times New Roman" w:hAnsi="Georgia" w:cs="Arial"/>
          <w:b/>
          <w:sz w:val="26"/>
          <w:szCs w:val="26"/>
          <w:lang w:val="es-ES_tradnl" w:eastAsia="es-ES"/>
        </w:rPr>
        <w:t>Fractura de Huesos Accidental</w:t>
      </w:r>
    </w:p>
    <w:p w14:paraId="01402882" w14:textId="77777777" w:rsidR="00795D4B" w:rsidRDefault="00795D4B" w:rsidP="00795D4B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_tradnl" w:eastAsia="es-ES"/>
        </w:rPr>
      </w:pPr>
    </w:p>
    <w:p w14:paraId="155EA64C" w14:textId="77777777" w:rsidR="00795D4B" w:rsidRPr="00795D4B" w:rsidRDefault="00795D4B" w:rsidP="00795D4B">
      <w:pPr>
        <w:pBdr>
          <w:bottom w:val="single" w:sz="4" w:space="1" w:color="01C1D6"/>
        </w:pBd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_tradnl" w:eastAsia="es-ES"/>
        </w:rPr>
      </w:pPr>
      <w:r>
        <w:rPr>
          <w:rFonts w:ascii="Georgia" w:eastAsia="Times New Roman" w:hAnsi="Georgia" w:cs="Arial"/>
          <w:b/>
          <w:szCs w:val="20"/>
          <w:lang w:val="es-ES_tradnl" w:eastAsia="es-ES"/>
        </w:rPr>
        <w:t>Cláusula Adicional</w:t>
      </w:r>
    </w:p>
    <w:p w14:paraId="6B1E6562" w14:textId="77777777" w:rsidR="00D77C49" w:rsidRPr="00D77C49" w:rsidRDefault="00D77C49" w:rsidP="00D77C49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</w:p>
    <w:p w14:paraId="082459A7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szCs w:val="20"/>
          <w:lang w:val="es-ES" w:eastAsia="es-ES"/>
        </w:rPr>
        <w:t>Chubb Seguros Perú S.A, en adelante LA COMPAÑÍA, emite la siguiente Cláusula Adicional, la cual podrá ser accesoria a las Condiciones Generales de la Póliza contratada, conforme a lo pactado en la Solicitud de Seguro correspondiente.</w:t>
      </w:r>
    </w:p>
    <w:p w14:paraId="75900CE5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</w:p>
    <w:p w14:paraId="324B93FF" w14:textId="77777777" w:rsidR="00811453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szCs w:val="20"/>
          <w:lang w:val="es-ES" w:eastAsia="es-ES"/>
        </w:rPr>
        <w:t>Todo lo no previsto en la presente cláusula adicional se rige por lo señalado en las Condiciones Generales, Condiciones Particulares de la Póliza, así como de la normativa vigente.</w:t>
      </w:r>
    </w:p>
    <w:p w14:paraId="18795935" w14:textId="77777777" w:rsid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1C1D6"/>
        <w:tblLook w:val="04A0" w:firstRow="1" w:lastRow="0" w:firstColumn="1" w:lastColumn="0" w:noHBand="0" w:noVBand="1"/>
      </w:tblPr>
      <w:tblGrid>
        <w:gridCol w:w="9214"/>
      </w:tblGrid>
      <w:tr w:rsidR="00D57050" w:rsidRPr="0061753C" w14:paraId="394F51D6" w14:textId="77777777" w:rsidTr="009A785D">
        <w:tc>
          <w:tcPr>
            <w:tcW w:w="9214" w:type="dxa"/>
            <w:shd w:val="clear" w:color="auto" w:fill="01C1D6"/>
          </w:tcPr>
          <w:p w14:paraId="0260093E" w14:textId="77777777" w:rsidR="00D57050" w:rsidRPr="0061753C" w:rsidRDefault="00D57050" w:rsidP="009A785D">
            <w:pPr>
              <w:spacing w:line="228" w:lineRule="auto"/>
              <w:ind w:right="164"/>
              <w:rPr>
                <w:rFonts w:ascii="Georgia" w:hAnsi="Georgia" w:cs="Arial"/>
                <w:b/>
                <w:color w:val="FFFFFF"/>
              </w:rPr>
            </w:pPr>
            <w:r w:rsidRPr="0061753C">
              <w:rPr>
                <w:rFonts w:ascii="Georgia" w:hAnsi="Georgia" w:cs="Arial"/>
                <w:b/>
                <w:color w:val="FFFFFF"/>
              </w:rPr>
              <w:t xml:space="preserve">Artículo 1°     </w:t>
            </w:r>
            <w:r w:rsidR="00DB5ACA">
              <w:rPr>
                <w:rFonts w:ascii="Georgia" w:hAnsi="Georgia" w:cs="Arial"/>
                <w:b/>
                <w:color w:val="FFFFFF"/>
              </w:rPr>
              <w:t>Definiciones</w:t>
            </w:r>
          </w:p>
        </w:tc>
      </w:tr>
    </w:tbl>
    <w:p w14:paraId="33034F12" w14:textId="77777777" w:rsidR="0055675A" w:rsidRPr="00795D4B" w:rsidRDefault="0055675A" w:rsidP="00795D4B">
      <w:pPr>
        <w:spacing w:line="228" w:lineRule="auto"/>
        <w:ind w:right="141"/>
        <w:rPr>
          <w:rFonts w:ascii="Georgia" w:eastAsia="Times New Roman" w:hAnsi="Georgia" w:cs="Arial"/>
          <w:b/>
          <w:color w:val="0000FF"/>
          <w:szCs w:val="20"/>
          <w:lang w:val="es-ES" w:eastAsia="es-ES"/>
        </w:rPr>
      </w:pPr>
    </w:p>
    <w:p w14:paraId="20FD253B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szCs w:val="20"/>
          <w:lang w:val="es-ES" w:eastAsia="es-ES"/>
        </w:rPr>
        <w:t>Para los efectos de esta Cláusula Adicional se entiende por:</w:t>
      </w:r>
    </w:p>
    <w:p w14:paraId="2A8A0B0C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</w:p>
    <w:p w14:paraId="0CD69132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Fractura de Huesos:</w:t>
      </w:r>
      <w:r w:rsidRPr="007349FE">
        <w:rPr>
          <w:rFonts w:ascii="Georgia" w:eastAsia="Times New Roman" w:hAnsi="Georgia" w:cs="Arial"/>
          <w:szCs w:val="20"/>
          <w:lang w:val="es-ES" w:eastAsia="es-ES"/>
        </w:rPr>
        <w:t xml:space="preserve"> Es la rotura simple de huesos producida como consecuencia de un Accidente.</w:t>
      </w:r>
    </w:p>
    <w:p w14:paraId="1E8CE9BB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</w:p>
    <w:p w14:paraId="1EEF781D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Huesos:</w:t>
      </w:r>
      <w:r w:rsidRPr="007349FE">
        <w:rPr>
          <w:rFonts w:ascii="Georgia" w:eastAsia="Times New Roman" w:hAnsi="Georgia" w:cs="Arial"/>
          <w:szCs w:val="20"/>
          <w:lang w:val="es-ES" w:eastAsia="es-ES"/>
        </w:rPr>
        <w:t xml:space="preserve"> Comprende cadera, pelvis, cuello, cráneo, omóplato, fémur, clavícula, esternón, húmero, rótula, codo, antebrazo, pierna, mandíbula, muñeca, malar, tobillo, mano, pie, vértebra y costilla.</w:t>
      </w:r>
    </w:p>
    <w:p w14:paraId="63DFA775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</w:p>
    <w:p w14:paraId="162812D1" w14:textId="77777777" w:rsidR="00DB5ACA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Osteoporosis:</w:t>
      </w:r>
      <w:r w:rsidRPr="007349FE">
        <w:rPr>
          <w:rFonts w:ascii="Georgia" w:eastAsia="Times New Roman" w:hAnsi="Georgia" w:cs="Arial"/>
          <w:szCs w:val="20"/>
          <w:lang w:val="es-ES" w:eastAsia="es-ES"/>
        </w:rPr>
        <w:t xml:space="preserve"> Enfermedad en la cual disminuye la cantidad de minerales en los huesos, por lo cual pierden fuerza y se vuelven quebradizos y susceptibles de fracturas y de microfracturas.</w:t>
      </w:r>
    </w:p>
    <w:p w14:paraId="1A669134" w14:textId="77777777" w:rsid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b/>
          <w:bCs/>
          <w:szCs w:val="20"/>
          <w:lang w:val="es-ES" w:eastAsia="es-ES"/>
        </w:rPr>
      </w:pP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1C1D6"/>
        <w:tblLook w:val="04A0" w:firstRow="1" w:lastRow="0" w:firstColumn="1" w:lastColumn="0" w:noHBand="0" w:noVBand="1"/>
      </w:tblPr>
      <w:tblGrid>
        <w:gridCol w:w="9214"/>
      </w:tblGrid>
      <w:tr w:rsidR="00D57050" w:rsidRPr="0061753C" w14:paraId="1FAD1D20" w14:textId="77777777" w:rsidTr="009A785D">
        <w:tc>
          <w:tcPr>
            <w:tcW w:w="9214" w:type="dxa"/>
            <w:shd w:val="clear" w:color="auto" w:fill="01C1D6"/>
          </w:tcPr>
          <w:p w14:paraId="6BDD30FC" w14:textId="77777777" w:rsidR="00D57050" w:rsidRPr="0061753C" w:rsidRDefault="00D57050" w:rsidP="00D57050">
            <w:pPr>
              <w:spacing w:line="228" w:lineRule="auto"/>
              <w:ind w:right="164"/>
              <w:rPr>
                <w:rFonts w:ascii="Georgia" w:hAnsi="Georgia" w:cs="Arial"/>
                <w:b/>
                <w:color w:val="FFFFFF"/>
              </w:rPr>
            </w:pPr>
            <w:r>
              <w:rPr>
                <w:rFonts w:ascii="Georgia" w:hAnsi="Georgia" w:cs="Arial"/>
                <w:b/>
                <w:color w:val="FFFFFF"/>
              </w:rPr>
              <w:t>Artículo 2</w:t>
            </w:r>
            <w:r w:rsidRPr="0061753C">
              <w:rPr>
                <w:rFonts w:ascii="Georgia" w:hAnsi="Georgia" w:cs="Arial"/>
                <w:b/>
                <w:color w:val="FFFFFF"/>
              </w:rPr>
              <w:t xml:space="preserve">°     </w:t>
            </w:r>
            <w:r w:rsidR="007349FE">
              <w:rPr>
                <w:rFonts w:ascii="Georgia" w:hAnsi="Georgia" w:cs="Arial"/>
                <w:b/>
                <w:color w:val="FFFFFF"/>
              </w:rPr>
              <w:t xml:space="preserve">Descripción de la </w:t>
            </w:r>
            <w:r w:rsidR="00DB5ACA">
              <w:rPr>
                <w:rFonts w:ascii="Georgia" w:hAnsi="Georgia" w:cs="Arial"/>
                <w:b/>
                <w:color w:val="FFFFFF"/>
              </w:rPr>
              <w:t>Cobertura</w:t>
            </w:r>
          </w:p>
        </w:tc>
      </w:tr>
    </w:tbl>
    <w:p w14:paraId="4F43058D" w14:textId="77777777" w:rsidR="0055675A" w:rsidRPr="00795D4B" w:rsidRDefault="0055675A" w:rsidP="00795D4B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5938E383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/>
        </w:rPr>
      </w:pPr>
      <w:r w:rsidRPr="007349FE">
        <w:rPr>
          <w:rFonts w:ascii="Georgia" w:eastAsia="Times New Roman" w:hAnsi="Georgia" w:cs="Arial"/>
          <w:szCs w:val="20"/>
          <w:lang w:val="es-ES"/>
        </w:rPr>
        <w:t>LA COMPAÑÍA pagará la suma asegurada indicada en las Condiciones Particulares y/o Certificado de Seguro, tratándose de un Seguro Grupal, en caso de fractura de huesos del ASEGURADO como consecuencia de un accidente ocurrido durante la vigencia del seguro.</w:t>
      </w:r>
    </w:p>
    <w:p w14:paraId="767D0B01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/>
        </w:rPr>
      </w:pPr>
    </w:p>
    <w:p w14:paraId="361C0D37" w14:textId="77777777" w:rsidR="0055675A" w:rsidRPr="00DB5ACA" w:rsidRDefault="007349FE" w:rsidP="007349FE">
      <w:pPr>
        <w:spacing w:line="228" w:lineRule="auto"/>
        <w:ind w:right="141"/>
        <w:rPr>
          <w:rFonts w:ascii="Georgia" w:eastAsia="Times New Roman" w:hAnsi="Georgia" w:cs="Arial"/>
          <w:szCs w:val="20"/>
          <w:lang w:val="es-ES"/>
        </w:rPr>
      </w:pPr>
      <w:r w:rsidRPr="007349FE">
        <w:rPr>
          <w:rFonts w:ascii="Georgia" w:eastAsia="Times New Roman" w:hAnsi="Georgia" w:cs="Arial"/>
          <w:szCs w:val="20"/>
          <w:lang w:val="es-ES"/>
        </w:rPr>
        <w:t>Esta Cláusula Adicional brinda cobertura en el ámbito nacional e internacional, durante las veinticuatro (24) horas del día.</w:t>
      </w:r>
    </w:p>
    <w:p w14:paraId="6D33C787" w14:textId="77777777" w:rsidR="00DB5ACA" w:rsidRDefault="00DB5ACA" w:rsidP="00DB5ACA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1C1D6"/>
        <w:tblLook w:val="04A0" w:firstRow="1" w:lastRow="0" w:firstColumn="1" w:lastColumn="0" w:noHBand="0" w:noVBand="1"/>
      </w:tblPr>
      <w:tblGrid>
        <w:gridCol w:w="9214"/>
      </w:tblGrid>
      <w:tr w:rsidR="00D57050" w:rsidRPr="0061753C" w14:paraId="51414177" w14:textId="77777777" w:rsidTr="009A785D">
        <w:tc>
          <w:tcPr>
            <w:tcW w:w="9214" w:type="dxa"/>
            <w:shd w:val="clear" w:color="auto" w:fill="01C1D6"/>
          </w:tcPr>
          <w:p w14:paraId="767A69FF" w14:textId="77777777" w:rsidR="00D57050" w:rsidRPr="0061753C" w:rsidRDefault="00D57050" w:rsidP="00D57050">
            <w:pPr>
              <w:spacing w:line="228" w:lineRule="auto"/>
              <w:ind w:right="164"/>
              <w:rPr>
                <w:rFonts w:ascii="Georgia" w:hAnsi="Georgia" w:cs="Arial"/>
                <w:b/>
                <w:color w:val="FFFFFF"/>
              </w:rPr>
            </w:pPr>
            <w:r>
              <w:rPr>
                <w:rFonts w:ascii="Georgia" w:hAnsi="Georgia" w:cs="Arial"/>
                <w:b/>
                <w:color w:val="FFFFFF"/>
              </w:rPr>
              <w:t>Artículo 3</w:t>
            </w:r>
            <w:r w:rsidRPr="0061753C">
              <w:rPr>
                <w:rFonts w:ascii="Georgia" w:hAnsi="Georgia" w:cs="Arial"/>
                <w:b/>
                <w:color w:val="FFFFFF"/>
              </w:rPr>
              <w:t xml:space="preserve">°     </w:t>
            </w:r>
            <w:r w:rsidR="007349FE">
              <w:rPr>
                <w:rFonts w:ascii="Georgia" w:hAnsi="Georgia" w:cs="Arial"/>
                <w:b/>
                <w:color w:val="FFFFFF"/>
              </w:rPr>
              <w:t>Condiciones para ser Asegurado</w:t>
            </w:r>
          </w:p>
        </w:tc>
      </w:tr>
    </w:tbl>
    <w:p w14:paraId="4F794660" w14:textId="77777777" w:rsidR="0055675A" w:rsidRPr="00795D4B" w:rsidRDefault="0055675A" w:rsidP="00D57050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7A8DAA09" w14:textId="77777777" w:rsidR="00DB5ACA" w:rsidRDefault="007349FE" w:rsidP="00DB5ACA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szCs w:val="20"/>
          <w:lang w:val="es-ES" w:eastAsia="es-ES"/>
        </w:rPr>
        <w:t>El ASEGURADO deberá cumplir con los requisitos de edad estipulados en las Condiciones Generales de la Póliza de Seguro para poder acceder a la presente cobertura adicional.</w:t>
      </w:r>
    </w:p>
    <w:p w14:paraId="27C12151" w14:textId="77777777" w:rsidR="007349FE" w:rsidRPr="00795D4B" w:rsidRDefault="007349FE" w:rsidP="00DB5ACA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1C1D6"/>
        <w:tblLook w:val="04A0" w:firstRow="1" w:lastRow="0" w:firstColumn="1" w:lastColumn="0" w:noHBand="0" w:noVBand="1"/>
      </w:tblPr>
      <w:tblGrid>
        <w:gridCol w:w="9214"/>
      </w:tblGrid>
      <w:tr w:rsidR="00D57050" w:rsidRPr="0061753C" w14:paraId="13799739" w14:textId="77777777" w:rsidTr="009A785D">
        <w:tc>
          <w:tcPr>
            <w:tcW w:w="9214" w:type="dxa"/>
            <w:shd w:val="clear" w:color="auto" w:fill="01C1D6"/>
          </w:tcPr>
          <w:p w14:paraId="3727F89E" w14:textId="77777777" w:rsidR="00D57050" w:rsidRPr="0061753C" w:rsidRDefault="00D57050" w:rsidP="00D57050">
            <w:pPr>
              <w:spacing w:line="228" w:lineRule="auto"/>
              <w:ind w:right="164"/>
              <w:rPr>
                <w:rFonts w:ascii="Georgia" w:hAnsi="Georgia" w:cs="Arial"/>
                <w:b/>
                <w:color w:val="FFFFFF"/>
              </w:rPr>
            </w:pPr>
            <w:r>
              <w:rPr>
                <w:rFonts w:ascii="Georgia" w:hAnsi="Georgia" w:cs="Arial"/>
                <w:b/>
                <w:color w:val="FFFFFF"/>
              </w:rPr>
              <w:t>Artículo 4</w:t>
            </w:r>
            <w:r w:rsidRPr="0061753C">
              <w:rPr>
                <w:rFonts w:ascii="Georgia" w:hAnsi="Georgia" w:cs="Arial"/>
                <w:b/>
                <w:color w:val="FFFFFF"/>
              </w:rPr>
              <w:t xml:space="preserve">°     </w:t>
            </w:r>
            <w:r w:rsidR="00DB5ACA">
              <w:rPr>
                <w:rFonts w:ascii="Georgia" w:hAnsi="Georgia" w:cs="Arial"/>
                <w:b/>
                <w:color w:val="FFFFFF"/>
              </w:rPr>
              <w:t>Exclusiones</w:t>
            </w:r>
          </w:p>
        </w:tc>
      </w:tr>
    </w:tbl>
    <w:p w14:paraId="3AAB26AC" w14:textId="77777777" w:rsidR="0055675A" w:rsidRPr="00795D4B" w:rsidRDefault="0055675A" w:rsidP="00795D4B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52F75A77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Rigen para la presente cobertura las Exclusiones establecidas en las Condiciones Generales de la Póliza, referidas a la cobertura de Muerte Accidental.</w:t>
      </w:r>
    </w:p>
    <w:p w14:paraId="76567A18" w14:textId="77777777" w:rsidR="007349FE" w:rsidRPr="007349FE" w:rsidRDefault="007349FE" w:rsidP="007349FE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6E96D603" w14:textId="77777777" w:rsidR="004C0C79" w:rsidRPr="007349FE" w:rsidRDefault="007349FE" w:rsidP="007349FE">
      <w:pPr>
        <w:spacing w:line="228" w:lineRule="auto"/>
        <w:ind w:right="141"/>
        <w:rPr>
          <w:rFonts w:ascii="Georgia" w:hAnsi="Georgia"/>
          <w:szCs w:val="20"/>
          <w:lang w:val="es-ES_tradnl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Asimismo, se encuentra excluida de esta cobertura la rotura de huesos producida como consecuencia de osteoporosis</w:t>
      </w:r>
      <w:r w:rsidR="00DB5ACA" w:rsidRPr="007349FE">
        <w:rPr>
          <w:rFonts w:ascii="Georgia" w:eastAsia="Times New Roman" w:hAnsi="Georgia" w:cs="Arial"/>
          <w:b/>
          <w:szCs w:val="20"/>
          <w:lang w:val="es-ES" w:eastAsia="es-ES"/>
        </w:rPr>
        <w:t>.</w:t>
      </w:r>
    </w:p>
    <w:p w14:paraId="2B9D357D" w14:textId="77777777" w:rsidR="00DB5ACA" w:rsidRPr="00795D4B" w:rsidRDefault="00DB5ACA" w:rsidP="00DB5ACA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1C1D6"/>
        <w:tblLook w:val="04A0" w:firstRow="1" w:lastRow="0" w:firstColumn="1" w:lastColumn="0" w:noHBand="0" w:noVBand="1"/>
      </w:tblPr>
      <w:tblGrid>
        <w:gridCol w:w="9214"/>
      </w:tblGrid>
      <w:tr w:rsidR="00DB5ACA" w:rsidRPr="0061753C" w14:paraId="7F03A981" w14:textId="77777777" w:rsidTr="00A7086F">
        <w:tc>
          <w:tcPr>
            <w:tcW w:w="9214" w:type="dxa"/>
            <w:shd w:val="clear" w:color="auto" w:fill="01C1D6"/>
          </w:tcPr>
          <w:p w14:paraId="4919D4C0" w14:textId="77777777" w:rsidR="00DB5ACA" w:rsidRPr="0061753C" w:rsidRDefault="00DB5ACA" w:rsidP="00A7086F">
            <w:pPr>
              <w:spacing w:line="228" w:lineRule="auto"/>
              <w:ind w:right="164"/>
              <w:rPr>
                <w:rFonts w:ascii="Georgia" w:hAnsi="Georgia" w:cs="Arial"/>
                <w:b/>
                <w:color w:val="FFFFFF"/>
              </w:rPr>
            </w:pPr>
            <w:r>
              <w:rPr>
                <w:rFonts w:ascii="Georgia" w:hAnsi="Georgia" w:cs="Arial"/>
                <w:b/>
                <w:color w:val="FFFFFF"/>
              </w:rPr>
              <w:t>Artículo 5</w:t>
            </w:r>
            <w:r w:rsidRPr="0061753C">
              <w:rPr>
                <w:rFonts w:ascii="Georgia" w:hAnsi="Georgia" w:cs="Arial"/>
                <w:b/>
                <w:color w:val="FFFFFF"/>
              </w:rPr>
              <w:t xml:space="preserve">°     </w:t>
            </w:r>
            <w:r>
              <w:rPr>
                <w:rFonts w:ascii="Georgia" w:hAnsi="Georgia" w:cs="Arial"/>
                <w:b/>
                <w:color w:val="FFFFFF"/>
              </w:rPr>
              <w:t>Terminación de la Cláusula Adicional</w:t>
            </w:r>
          </w:p>
        </w:tc>
      </w:tr>
    </w:tbl>
    <w:p w14:paraId="4A8ABF4F" w14:textId="77777777" w:rsidR="00DB5ACA" w:rsidRPr="00795D4B" w:rsidRDefault="00DB5ACA" w:rsidP="00DB5ACA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47DA26DF" w14:textId="77777777" w:rsidR="00DB5ACA" w:rsidRDefault="007349FE" w:rsidP="00DB5ACA">
      <w:pPr>
        <w:spacing w:line="228" w:lineRule="auto"/>
        <w:ind w:right="141"/>
        <w:rPr>
          <w:rFonts w:ascii="Georgia" w:eastAsia="Times New Roman" w:hAnsi="Georgia" w:cs="Arial"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szCs w:val="20"/>
          <w:lang w:val="es-ES" w:eastAsia="es-ES"/>
        </w:rPr>
        <w:t>Le serán aplicables las causales de terminación indicadas en el Condicionado General de la Póliza, o cuando se haga efectiva la indemnización que cubre la misma.</w:t>
      </w:r>
    </w:p>
    <w:p w14:paraId="17120571" w14:textId="77777777" w:rsidR="007349FE" w:rsidRDefault="007349FE" w:rsidP="00DB5ACA">
      <w:pPr>
        <w:spacing w:line="228" w:lineRule="auto"/>
        <w:ind w:right="141"/>
        <w:rPr>
          <w:rFonts w:ascii="Georgia" w:hAnsi="Georgia"/>
          <w:szCs w:val="20"/>
          <w:lang w:val="es-ES_tradnl"/>
        </w:rPr>
      </w:pP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1C1D6"/>
        <w:tblLook w:val="04A0" w:firstRow="1" w:lastRow="0" w:firstColumn="1" w:lastColumn="0" w:noHBand="0" w:noVBand="1"/>
      </w:tblPr>
      <w:tblGrid>
        <w:gridCol w:w="9214"/>
      </w:tblGrid>
      <w:tr w:rsidR="00DB5ACA" w:rsidRPr="0061753C" w14:paraId="025A419D" w14:textId="77777777" w:rsidTr="00A7086F">
        <w:tc>
          <w:tcPr>
            <w:tcW w:w="9214" w:type="dxa"/>
            <w:shd w:val="clear" w:color="auto" w:fill="01C1D6"/>
          </w:tcPr>
          <w:p w14:paraId="29677E05" w14:textId="77777777" w:rsidR="00DB5ACA" w:rsidRPr="0061753C" w:rsidRDefault="00DB5ACA" w:rsidP="00A7086F">
            <w:pPr>
              <w:spacing w:line="228" w:lineRule="auto"/>
              <w:ind w:right="164"/>
              <w:rPr>
                <w:rFonts w:ascii="Georgia" w:hAnsi="Georgia" w:cs="Arial"/>
                <w:b/>
                <w:color w:val="FFFFFF"/>
              </w:rPr>
            </w:pPr>
            <w:r>
              <w:rPr>
                <w:rFonts w:ascii="Georgia" w:hAnsi="Georgia" w:cs="Arial"/>
                <w:b/>
                <w:color w:val="FFFFFF"/>
              </w:rPr>
              <w:t>Artículo 6</w:t>
            </w:r>
            <w:r w:rsidRPr="0061753C">
              <w:rPr>
                <w:rFonts w:ascii="Georgia" w:hAnsi="Georgia" w:cs="Arial"/>
                <w:b/>
                <w:color w:val="FFFFFF"/>
              </w:rPr>
              <w:t xml:space="preserve">°     </w:t>
            </w:r>
            <w:r>
              <w:rPr>
                <w:rFonts w:ascii="Georgia" w:hAnsi="Georgia" w:cs="Arial"/>
                <w:b/>
                <w:color w:val="FFFFFF"/>
              </w:rPr>
              <w:t>Beneficiarios</w:t>
            </w:r>
          </w:p>
        </w:tc>
      </w:tr>
    </w:tbl>
    <w:p w14:paraId="5B93D590" w14:textId="77777777" w:rsidR="00DB5ACA" w:rsidRPr="00795D4B" w:rsidRDefault="00DB5ACA" w:rsidP="00DB5ACA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5174D1A0" w14:textId="77777777" w:rsidR="00DB5ACA" w:rsidRDefault="007349FE" w:rsidP="00DB5ACA">
      <w:pPr>
        <w:spacing w:line="228" w:lineRule="auto"/>
        <w:ind w:right="141"/>
        <w:rPr>
          <w:rFonts w:ascii="Georgia" w:hAnsi="Georgia"/>
          <w:szCs w:val="20"/>
          <w:lang w:val="es-ES_tradnl"/>
        </w:rPr>
      </w:pPr>
      <w:r w:rsidRPr="007349FE">
        <w:rPr>
          <w:rFonts w:ascii="Georgia" w:eastAsia="Times New Roman" w:hAnsi="Georgia" w:cs="Arial"/>
          <w:szCs w:val="20"/>
          <w:lang w:val="es-ES" w:eastAsia="es-ES"/>
        </w:rPr>
        <w:t>Será beneficiario de esta cobertura el mismo ASEGURADO que haya sufrido fractura de huesos y que se haya atendido en una institución hospitalaria. En caso de fallecimiento del ASEGURADO antes de pagada la indemnización correspondiente, los Beneficiarios serán los Herederos Legales o Testamentarios de éste, según corresponda.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1C1D6"/>
        <w:tblLook w:val="04A0" w:firstRow="1" w:lastRow="0" w:firstColumn="1" w:lastColumn="0" w:noHBand="0" w:noVBand="1"/>
      </w:tblPr>
      <w:tblGrid>
        <w:gridCol w:w="9214"/>
      </w:tblGrid>
      <w:tr w:rsidR="00DB5ACA" w:rsidRPr="0061753C" w14:paraId="131A1C30" w14:textId="77777777" w:rsidTr="00A7086F">
        <w:tc>
          <w:tcPr>
            <w:tcW w:w="9214" w:type="dxa"/>
            <w:shd w:val="clear" w:color="auto" w:fill="01C1D6"/>
          </w:tcPr>
          <w:p w14:paraId="099ACF94" w14:textId="77777777" w:rsidR="00DB5ACA" w:rsidRPr="0061753C" w:rsidRDefault="00DB5ACA" w:rsidP="00A7086F">
            <w:pPr>
              <w:spacing w:line="228" w:lineRule="auto"/>
              <w:ind w:right="164"/>
              <w:rPr>
                <w:rFonts w:ascii="Georgia" w:hAnsi="Georgia" w:cs="Arial"/>
                <w:b/>
                <w:color w:val="FFFFFF"/>
              </w:rPr>
            </w:pPr>
            <w:r>
              <w:rPr>
                <w:rFonts w:ascii="Georgia" w:hAnsi="Georgia" w:cs="Arial"/>
                <w:b/>
                <w:color w:val="FFFFFF"/>
              </w:rPr>
              <w:lastRenderedPageBreak/>
              <w:t>Artículo 7</w:t>
            </w:r>
            <w:r w:rsidRPr="0061753C">
              <w:rPr>
                <w:rFonts w:ascii="Georgia" w:hAnsi="Georgia" w:cs="Arial"/>
                <w:b/>
                <w:color w:val="FFFFFF"/>
              </w:rPr>
              <w:t xml:space="preserve">°     </w:t>
            </w:r>
            <w:r>
              <w:rPr>
                <w:rFonts w:ascii="Georgia" w:hAnsi="Georgia" w:cs="Arial"/>
                <w:b/>
                <w:color w:val="FFFFFF"/>
              </w:rPr>
              <w:t>Aviso del Siniestro y Procedimiento para Solicitar la Cobertura</w:t>
            </w:r>
          </w:p>
        </w:tc>
      </w:tr>
    </w:tbl>
    <w:p w14:paraId="6BB8127C" w14:textId="77777777" w:rsidR="00DB5ACA" w:rsidRPr="00795D4B" w:rsidRDefault="00DB5ACA" w:rsidP="00DB5ACA">
      <w:pPr>
        <w:spacing w:line="228" w:lineRule="auto"/>
        <w:ind w:right="141"/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0FAA0FF8" w14:textId="77777777" w:rsidR="007349FE" w:rsidRPr="007349FE" w:rsidRDefault="007349FE" w:rsidP="007349FE">
      <w:pPr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Si ocurriera un evento que diera lugar al pago de indemnización bajo esta Cláusula Adicional, el ASEGURADO deberá cumplir con lo siguiente:</w:t>
      </w:r>
    </w:p>
    <w:p w14:paraId="0A334662" w14:textId="77777777" w:rsidR="007349FE" w:rsidRPr="007349FE" w:rsidRDefault="007349FE" w:rsidP="007349FE">
      <w:pPr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6C1FD44C" w14:textId="77777777" w:rsidR="007349FE" w:rsidRPr="007349FE" w:rsidRDefault="007349FE" w:rsidP="007349FE">
      <w:pPr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u w:val="single"/>
          <w:lang w:val="es-ES" w:eastAsia="es-ES"/>
        </w:rPr>
        <w:t>Aviso de Siniestro:</w:t>
      </w: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 xml:space="preserve"> Dar aviso por cualquiera de los medios de comunicación pactados a la COMPAÑÍA de la ocurrencia del siniestro, en un plazo no mayor a treinta (30) días calendarios luego de ocurrido el suceso o de conocido el beneficio, o después de dicho plazo, tan pronto como sea posible, a cuyos efectos le será de aplicación lo previsto en el artículo 13° de las Cláusulas Generales de Contratación Comunes a los Seguros de Accidentes Personales.</w:t>
      </w:r>
    </w:p>
    <w:p w14:paraId="1C205861" w14:textId="77777777" w:rsidR="007349FE" w:rsidRPr="007349FE" w:rsidRDefault="007349FE" w:rsidP="007349FE">
      <w:pPr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1FEB42F4" w14:textId="77777777" w:rsidR="007349FE" w:rsidRPr="007349FE" w:rsidRDefault="007349FE" w:rsidP="007349FE">
      <w:pPr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u w:val="single"/>
          <w:lang w:val="es-ES" w:eastAsia="es-ES"/>
        </w:rPr>
        <w:t>Documentos:</w:t>
      </w: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 xml:space="preserve"> Posteriormente, para la Solicitud de Cobertura, deberá presentar en las oficinas de la COMPAÑÍA o Comercializador los siguientes documentos (en original o certificación de reproducción notarial, antes copia legalizada):</w:t>
      </w:r>
    </w:p>
    <w:p w14:paraId="1F744995" w14:textId="77777777" w:rsidR="007349FE" w:rsidRPr="007349FE" w:rsidRDefault="007349FE" w:rsidP="007349FE">
      <w:pPr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4B37A2C8" w14:textId="77777777" w:rsidR="007349FE" w:rsidRPr="007349FE" w:rsidRDefault="007349FE" w:rsidP="007349FE">
      <w:pPr>
        <w:pStyle w:val="Prrafodelista"/>
        <w:numPr>
          <w:ilvl w:val="0"/>
          <w:numId w:val="12"/>
        </w:numPr>
        <w:ind w:left="426" w:hanging="426"/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Documento de identidad del ASEGURADO,</w:t>
      </w:r>
    </w:p>
    <w:p w14:paraId="306CC1B4" w14:textId="77777777" w:rsidR="007349FE" w:rsidRPr="007349FE" w:rsidRDefault="007349FE" w:rsidP="007349FE">
      <w:pPr>
        <w:pStyle w:val="Prrafodelista"/>
        <w:numPr>
          <w:ilvl w:val="0"/>
          <w:numId w:val="12"/>
        </w:numPr>
        <w:ind w:left="426" w:hanging="426"/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Certificado del médico que prestó los primeros auxilios al ASEGURADO expresando las causas del accidente y sus consecuencias conocidas o probables, según corresponda,</w:t>
      </w:r>
    </w:p>
    <w:p w14:paraId="574FD135" w14:textId="77777777" w:rsidR="007349FE" w:rsidRPr="007349FE" w:rsidRDefault="007349FE" w:rsidP="007349FE">
      <w:pPr>
        <w:pStyle w:val="Prrafodelista"/>
        <w:numPr>
          <w:ilvl w:val="0"/>
          <w:numId w:val="12"/>
        </w:numPr>
        <w:ind w:left="426" w:hanging="426"/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Certificado médico con diagnóstico de Fractura de Huesos,</w:t>
      </w:r>
    </w:p>
    <w:p w14:paraId="2C19CEA6" w14:textId="77777777" w:rsidR="007349FE" w:rsidRPr="007349FE" w:rsidRDefault="007349FE" w:rsidP="007349FE">
      <w:pPr>
        <w:pStyle w:val="Prrafodelista"/>
        <w:numPr>
          <w:ilvl w:val="0"/>
          <w:numId w:val="12"/>
        </w:numPr>
        <w:ind w:left="426" w:hanging="426"/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Comprobante de pago legalmente emitido por la institución hospitalaria donde se prestó la atención médica,</w:t>
      </w:r>
    </w:p>
    <w:p w14:paraId="75197B76" w14:textId="77777777" w:rsidR="007349FE" w:rsidRPr="007349FE" w:rsidRDefault="007349FE" w:rsidP="007349FE">
      <w:pPr>
        <w:pStyle w:val="Prrafodelista"/>
        <w:numPr>
          <w:ilvl w:val="0"/>
          <w:numId w:val="12"/>
        </w:numPr>
        <w:ind w:left="426" w:hanging="426"/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Partida o Acta de Defunción del ASEGURADO, en caso corresponda,</w:t>
      </w:r>
    </w:p>
    <w:p w14:paraId="6DA250CE" w14:textId="77777777" w:rsidR="007349FE" w:rsidRPr="007349FE" w:rsidRDefault="007349FE" w:rsidP="007349FE">
      <w:pPr>
        <w:pStyle w:val="Prrafodelista"/>
        <w:numPr>
          <w:ilvl w:val="0"/>
          <w:numId w:val="12"/>
        </w:numPr>
        <w:ind w:left="426" w:hanging="426"/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 xml:space="preserve">Copia literal de inscripción definitiva de la Sucesión Intestada o Testamento expedida por la Superintendencia Nacional de los Registros Públicos, que designe a los Beneficiarios, Herederos Legales o Testamentarios, en caso corresponda. </w:t>
      </w:r>
    </w:p>
    <w:p w14:paraId="0702E141" w14:textId="77777777" w:rsidR="007349FE" w:rsidRPr="007349FE" w:rsidRDefault="007349FE" w:rsidP="007349FE">
      <w:pPr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14883C2E" w14:textId="77777777" w:rsidR="007349FE" w:rsidRPr="007349FE" w:rsidRDefault="007349FE" w:rsidP="007349FE">
      <w:pPr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En caso de muerte presunta, ésta deberá acreditarse conforme a la Ley vigente.</w:t>
      </w:r>
    </w:p>
    <w:p w14:paraId="497961B7" w14:textId="77777777" w:rsidR="007349FE" w:rsidRPr="007349FE" w:rsidRDefault="007349FE" w:rsidP="007349FE">
      <w:pPr>
        <w:rPr>
          <w:rFonts w:ascii="Georgia" w:eastAsia="Times New Roman" w:hAnsi="Georgia" w:cs="Arial"/>
          <w:b/>
          <w:szCs w:val="20"/>
          <w:lang w:val="es-ES" w:eastAsia="es-ES"/>
        </w:rPr>
      </w:pPr>
    </w:p>
    <w:p w14:paraId="50A67B60" w14:textId="77777777" w:rsidR="00DB5ACA" w:rsidRPr="007349FE" w:rsidRDefault="007349FE" w:rsidP="00AF1902">
      <w:pPr>
        <w:rPr>
          <w:rFonts w:ascii="Georgia" w:eastAsia="Times New Roman" w:hAnsi="Georgia" w:cs="Arial"/>
          <w:b/>
          <w:szCs w:val="20"/>
          <w:lang w:val="es-ES" w:eastAsia="es-ES"/>
        </w:rPr>
      </w:pPr>
      <w:r w:rsidRPr="007349FE">
        <w:rPr>
          <w:rFonts w:ascii="Georgia" w:eastAsia="Times New Roman" w:hAnsi="Georgia" w:cs="Arial"/>
          <w:b/>
          <w:szCs w:val="20"/>
          <w:lang w:val="es-ES" w:eastAsia="es-ES"/>
        </w:rPr>
        <w:t>La COMPAÑÍA tendrá siempre el derecho de solicitar cualquier otro antecedente o documento relacionado al siniestro que estime necesario para realizar las aclaraciones o precisiones adicionales necesarias para la calificación del mismo, dentro de los veinte (20) días de los treinta (30) días que tiene</w:t>
      </w:r>
      <w:r>
        <w:rPr>
          <w:rFonts w:ascii="Georgia" w:eastAsia="Times New Roman" w:hAnsi="Georgia" w:cs="Arial"/>
          <w:b/>
          <w:szCs w:val="20"/>
          <w:lang w:val="es-ES" w:eastAsia="es-ES"/>
        </w:rPr>
        <w:t xml:space="preserve"> para la liquidación del mismo.</w:t>
      </w:r>
    </w:p>
    <w:sectPr w:rsidR="00DB5ACA" w:rsidRPr="007349FE" w:rsidSect="009518BB">
      <w:pgSz w:w="12240" w:h="15840" w:code="1"/>
      <w:pgMar w:top="2127" w:right="1325" w:bottom="1134" w:left="1560" w:header="709" w:footer="9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 Euro">
    <w:altName w:val="Courier New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5DE"/>
    <w:multiLevelType w:val="hybridMultilevel"/>
    <w:tmpl w:val="D07EE8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B7736"/>
    <w:multiLevelType w:val="hybridMultilevel"/>
    <w:tmpl w:val="93F475E4"/>
    <w:lvl w:ilvl="0" w:tplc="0F9080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91C15"/>
    <w:multiLevelType w:val="hybridMultilevel"/>
    <w:tmpl w:val="DEBC68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C617F"/>
    <w:multiLevelType w:val="hybridMultilevel"/>
    <w:tmpl w:val="2ECE21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A0866"/>
    <w:multiLevelType w:val="hybridMultilevel"/>
    <w:tmpl w:val="127CA5D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3110F"/>
    <w:multiLevelType w:val="hybridMultilevel"/>
    <w:tmpl w:val="606EB36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714AE"/>
    <w:multiLevelType w:val="hybridMultilevel"/>
    <w:tmpl w:val="24E00A8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A007B"/>
    <w:multiLevelType w:val="hybridMultilevel"/>
    <w:tmpl w:val="527CD77C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86640"/>
    <w:multiLevelType w:val="hybridMultilevel"/>
    <w:tmpl w:val="CF2C894A"/>
    <w:lvl w:ilvl="0" w:tplc="04090017">
      <w:start w:val="1"/>
      <w:numFmt w:val="lowerLetter"/>
      <w:lvlText w:val="%1)"/>
      <w:lvlJc w:val="left"/>
      <w:pPr>
        <w:tabs>
          <w:tab w:val="num" w:pos="599"/>
        </w:tabs>
        <w:ind w:left="59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19"/>
        </w:tabs>
        <w:ind w:left="13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39"/>
        </w:tabs>
        <w:ind w:left="20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9"/>
        </w:tabs>
        <w:ind w:left="27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79"/>
        </w:tabs>
        <w:ind w:left="34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99"/>
        </w:tabs>
        <w:ind w:left="41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19"/>
        </w:tabs>
        <w:ind w:left="49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39"/>
        </w:tabs>
        <w:ind w:left="56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59"/>
        </w:tabs>
        <w:ind w:left="6359" w:hanging="180"/>
      </w:pPr>
    </w:lvl>
  </w:abstractNum>
  <w:abstractNum w:abstractNumId="9" w15:restartNumberingAfterBreak="0">
    <w:nsid w:val="6E062D2A"/>
    <w:multiLevelType w:val="hybridMultilevel"/>
    <w:tmpl w:val="D822437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52192"/>
    <w:multiLevelType w:val="hybridMultilevel"/>
    <w:tmpl w:val="0A9EAC1A"/>
    <w:lvl w:ilvl="0" w:tplc="1360C7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81D22"/>
    <w:multiLevelType w:val="hybridMultilevel"/>
    <w:tmpl w:val="AA4E208E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900A7"/>
    <w:multiLevelType w:val="hybridMultilevel"/>
    <w:tmpl w:val="86CA8F02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014291">
    <w:abstractNumId w:val="0"/>
  </w:num>
  <w:num w:numId="2" w16cid:durableId="1847018338">
    <w:abstractNumId w:val="8"/>
  </w:num>
  <w:num w:numId="3" w16cid:durableId="1269310916">
    <w:abstractNumId w:val="9"/>
  </w:num>
  <w:num w:numId="4" w16cid:durableId="1008677598">
    <w:abstractNumId w:val="3"/>
  </w:num>
  <w:num w:numId="5" w16cid:durableId="1900285621">
    <w:abstractNumId w:val="2"/>
  </w:num>
  <w:num w:numId="6" w16cid:durableId="661353905">
    <w:abstractNumId w:val="10"/>
  </w:num>
  <w:num w:numId="7" w16cid:durableId="139201190">
    <w:abstractNumId w:val="6"/>
  </w:num>
  <w:num w:numId="8" w16cid:durableId="1972831197">
    <w:abstractNumId w:val="7"/>
  </w:num>
  <w:num w:numId="9" w16cid:durableId="1867474649">
    <w:abstractNumId w:val="5"/>
  </w:num>
  <w:num w:numId="10" w16cid:durableId="1774470184">
    <w:abstractNumId w:val="12"/>
  </w:num>
  <w:num w:numId="11" w16cid:durableId="1565942602">
    <w:abstractNumId w:val="1"/>
  </w:num>
  <w:num w:numId="12" w16cid:durableId="1296566561">
    <w:abstractNumId w:val="11"/>
  </w:num>
  <w:num w:numId="13" w16cid:durableId="1901750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75A"/>
    <w:rsid w:val="0001531A"/>
    <w:rsid w:val="001330AD"/>
    <w:rsid w:val="002378BB"/>
    <w:rsid w:val="004C0C79"/>
    <w:rsid w:val="004F56EA"/>
    <w:rsid w:val="005124C3"/>
    <w:rsid w:val="0055675A"/>
    <w:rsid w:val="006635ED"/>
    <w:rsid w:val="007349FE"/>
    <w:rsid w:val="0074519B"/>
    <w:rsid w:val="00795D4B"/>
    <w:rsid w:val="00811453"/>
    <w:rsid w:val="009518BB"/>
    <w:rsid w:val="009E5C54"/>
    <w:rsid w:val="00AF1902"/>
    <w:rsid w:val="00BF27DF"/>
    <w:rsid w:val="00C50D00"/>
    <w:rsid w:val="00C807E1"/>
    <w:rsid w:val="00D230C1"/>
    <w:rsid w:val="00D57050"/>
    <w:rsid w:val="00D77C49"/>
    <w:rsid w:val="00DB5ACA"/>
    <w:rsid w:val="00E64A6A"/>
    <w:rsid w:val="00F001C4"/>
    <w:rsid w:val="00F95593"/>
    <w:rsid w:val="00FA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C25587"/>
  <w15:docId w15:val="{8BF4F60C-DFA2-4DB5-AD26-9788B045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s Gothic Euro" w:eastAsiaTheme="minorHAnsi" w:hAnsi="News Gothic Euro" w:cstheme="minorBidi"/>
        <w:szCs w:val="22"/>
        <w:lang w:val="es-P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635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35E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57050"/>
    <w:rPr>
      <w:rFonts w:ascii="Times New Roman" w:eastAsia="Times New Roman" w:hAnsi="Times New Roman" w:cs="Times New Roman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11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Avila, Marco      Int'l (Peru)</dc:creator>
  <cp:lastModifiedBy>Menendez, Yohana</cp:lastModifiedBy>
  <cp:revision>2</cp:revision>
  <cp:lastPrinted>2015-02-19T21:46:00Z</cp:lastPrinted>
  <dcterms:created xsi:type="dcterms:W3CDTF">2023-11-18T02:18:00Z</dcterms:created>
  <dcterms:modified xsi:type="dcterms:W3CDTF">2023-11-18T02:18:00Z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5fc5bc-c9e2-44ae-bd42-5c3cbdd817bc_Enabled">
    <vt:lpwstr>true</vt:lpwstr>
  </property>
  <property fmtid="{D5CDD505-2E9C-101B-9397-08002B2CF9AE}" pid="3" name="MSIP_Label_d35fc5bc-c9e2-44ae-bd42-5c3cbdd817bc_SetDate">
    <vt:lpwstr>2023-11-18T02:18:16Z</vt:lpwstr>
  </property>
  <property fmtid="{D5CDD505-2E9C-101B-9397-08002B2CF9AE}" pid="4" name="MSIP_Label_d35fc5bc-c9e2-44ae-bd42-5c3cbdd817bc_Method">
    <vt:lpwstr>Standard</vt:lpwstr>
  </property>
  <property fmtid="{D5CDD505-2E9C-101B-9397-08002B2CF9AE}" pid="5" name="MSIP_Label_d35fc5bc-c9e2-44ae-bd42-5c3cbdd817bc_Name">
    <vt:lpwstr>Yellow Data - LATAM</vt:lpwstr>
  </property>
  <property fmtid="{D5CDD505-2E9C-101B-9397-08002B2CF9AE}" pid="6" name="MSIP_Label_d35fc5bc-c9e2-44ae-bd42-5c3cbdd817bc_SiteId">
    <vt:lpwstr>fffcdc91-d561-4287-aebc-78d2466eec29</vt:lpwstr>
  </property>
  <property fmtid="{D5CDD505-2E9C-101B-9397-08002B2CF9AE}" pid="7" name="MSIP_Label_d35fc5bc-c9e2-44ae-bd42-5c3cbdd817bc_ActionId">
    <vt:lpwstr>ec5992a1-7e5f-4efc-bc49-d69b98b80842</vt:lpwstr>
  </property>
  <property fmtid="{D5CDD505-2E9C-101B-9397-08002B2CF9AE}" pid="8" name="MSIP_Label_d35fc5bc-c9e2-44ae-bd42-5c3cbdd817bc_ContentBits">
    <vt:lpwstr>0</vt:lpwstr>
  </property>
</Properties>
</file>